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4"/>
    <w:p>
      <w:pPr>
        <w:pStyle w:val="Heading1"/>
      </w:pPr>
      <w:r>
        <w:t xml:space="preserve">Homiletics Analysis: 2 Kings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24 narrates the final decades of Judah’s existence as a sovereign nation, tracing the catastrophic sequence of events that led to the first and second Babylonian deportations. The chapter moves through four successive kings — Jehoiakim, Jehoiachin, and the installation of Zedekiah — demonstrating that neither political accommodation nor military resistance could arrest what God had already determined. Nebuchadnezzar of Babylon rises to regional dominance, replacing Egypt as the superpower of the ancient Near East, and Judah is caught in the turning of that wheel. But the chapter is at pains to make clear that Nebuchadnezzar is not the author of Judah’s destruction — the LORD is. It is the LORD who sent bands of raiders against Jehoiakim (v. 2), the LORD who commanded this judgment against Judah (v. 3), and the LORD who gave Jehoiachin and Jerusalem into Nebuchadnezzar’s hand (v. 10). The theological explanation, embedded in verses 3–4, is explicit: this was the judgment God had spoken through His servants the prophets, on account of the sins of Manasseh and the innocent blood he shed. The chapter climaxes with the stripping of Jerusalem — the temple treasury, the royal treasury, the craftsmen, the warriors, the leaders — until only the poorest of the land remained. Judah is hollowed out. The chapter ends with Zedekiah installed on a throne that means nothing, reigning over a city that has already been emptied of everything that made it matter.</w:t>
      </w:r>
    </w:p>
    <w:p>
      <w:pPr>
        <w:pStyle w:val="BodyText"/>
      </w:pPr>
      <w:r>
        <w:rPr>
          <w:b/>
          <w:bCs/>
        </w:rPr>
        <w:t xml:space="preserve">This Text — Intent</w:t>
      </w:r>
    </w:p>
    <w:p>
      <w:pPr>
        <w:pStyle w:val="BodyText"/>
      </w:pPr>
      <w:r>
        <w:t xml:space="preserve">God’s intent through this passage is to demonstrate that covenant unfaithfulness does not ultimately escape covenant consequences — and that when those consequences arrive, they arrive exactly as He said they would, delivered by His own sovereign hand, on His own timetable. The passage is designed to produce in the reader a combination of solemn awe at God’s faithfulness to His word of judgment, honest grief over what sin destroys, and searching self-examination about what covenant unfaithfulness actually costs. It resists every temptation to read history as merely political or military: the Babylonians did not take Jerusalem — the LORD gave it. God intends readers to see their own world, their own institutions, their own lives with the same theological clarity: nothing stands apart from His governance, nothing escapes His word, and no accumulation of compromise is ever cost-free.</w:t>
      </w:r>
    </w:p>
    <w:p>
      <w:r>
        <w:pict>
          <v:rect style="width:0;height:1.5pt" o:hralign="center" o:hrstd="t" o:hr="t"/>
        </w:pict>
      </w:r>
    </w:p>
    <w:p>
      <w:pPr>
        <w:pStyle w:val="FirstParagraph"/>
      </w:pPr>
      <w:r>
        <w:rPr>
          <w:b/>
          <w:bCs/>
        </w:rPr>
        <w:t xml:space="preserve">Subject Sentence:</w:t>
      </w:r>
      <w:r>
        <w:t xml:space="preserve"> </w:t>
      </w:r>
      <w:r>
        <w:t xml:space="preserve">The LORD delivers covenant-breaking Judah into Babylon’s hand — exactly as He promised.</w:t>
      </w:r>
    </w:p>
    <w:p>
      <w:r>
        <w:pict>
          <v:rect style="width:0;height:1.5pt" o:hralign="center" o:hrstd="t" o:hr="t"/>
        </w:pict>
      </w:r>
    </w:p>
    <w:p>
      <w:pPr>
        <w:pStyle w:val="FirstParagraph"/>
      </w:pPr>
      <w:r>
        <w:rPr>
          <w:b/>
          <w:bCs/>
        </w:rPr>
        <w:t xml:space="preserve">Primary Claim:</w:t>
      </w:r>
      <w:r>
        <w:t xml:space="preserve"> </w:t>
      </w:r>
      <w:r>
        <w:t xml:space="preserve">God is demonstrating through the fall of Jerusalem that His word of judgment is as certain as His word of promise — covenantal unfaithfulness does not defer its consequences indefinitely, and no political arrangement, no change of kings, and no military calculation can circumvent what God has already decreed. He is calling readers to take His covenant threats with the same seriousness with which they take His covenant promises.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Theological Cause of the Exile (vv. 2–4)</w:t>
      </w:r>
    </w:p>
    <w:p>
      <w:pPr>
        <w:pStyle w:val="BodyText"/>
      </w:pPr>
      <w:r>
        <w:t xml:space="preserve">The central interpretive question in this chapter is whether verses 3–4 represent the narrator’s theological interpretation imposed on political events, or whether they represent the text’s genuine claim about the causal relationship between Manasseh’s sin and the Babylonian exile. Some critical scholars treat these verses as Deuteronomistic editorial overlay — a theological framework added after the fact to make sense of a political catastrophe. This reading must be qualified and ultimately rejected. The Deuteronomistic framework is not a later imposition; it is the hermeneutic that the entire book of Kings has been building since the division of the kingdom. The narrator is not manufacturing a theological explanation for a political event — the narrator is reading a political event through the lens God has already provided, the lens of Deuteronomy 28-30 and the covenant warnings the people had heard for generations. The Reformed reading affirms that this is precisely the right way to read history: not from below (political, military, economic causes), but from above (the sovereign governance of the covenant God). The text’s claim is not that Babylon was irrelevant but that Babylon was instrumental — an agent, not the author.</w:t>
      </w:r>
    </w:p>
    <w:p>
      <w:pPr>
        <w:pStyle w:val="BodyText"/>
      </w:pPr>
      <w:r>
        <w:rPr>
          <w:b/>
          <w:bCs/>
        </w:rPr>
        <w:t xml:space="preserve">The Role of Manasseh’s Sin (vv. 3–4)</w:t>
      </w:r>
    </w:p>
    <w:p>
      <w:pPr>
        <w:pStyle w:val="BodyText"/>
      </w:pPr>
      <w:r>
        <w:t xml:space="preserve">A secondary interpretive question concerns why Manasseh’s sin is cited as the decisive cause when the exile occurs decades after his reign and after Josiah’s significant reformation. Some Arminian and Wesleyan readers find tension here with individual moral accountability — why should a later generation bear the consequences of an earlier king’s sin? The text does not resolve this tension by eliminating it; it holds both realities. Josiah’s reforms were real (2 Kings 23) and were honored (the judgment was deferred during his lifetime, 22:20). But covenant faithfulness is not a transaction that can be fully reset by one generation’s repentance; the accumulated weight of Manasseh’s apostasy — the systematic dismantling of covenant worship, the shedding of innocent blood — had established a trajectory that Josiah’s reforms slowed but did not reverse. The Reformed reading does not treat this as injustice but as the nature of covenantal solidarity: generations are bound to one another in their covenant standing, for blessing (as with David’s dynasty) and for curse. The New Covenant will address this solidarity in Christ — the one who bears covenant curse so that those in Him bear it no longer.</w:t>
      </w:r>
    </w:p>
    <w:p>
      <w:pPr>
        <w:pStyle w:val="BodyText"/>
      </w:pPr>
      <w:r>
        <w:rPr>
          <w:b/>
          <w:bCs/>
        </w:rPr>
        <w:t xml:space="preserve">The Agency of Nebuchadnezzar</w:t>
      </w:r>
    </w:p>
    <w:p>
      <w:pPr>
        <w:pStyle w:val="BodyText"/>
      </w:pPr>
      <w:r>
        <w:t xml:space="preserve">A dispensational reading sometimes emphasizes Nebuchadnezzar’s role as the fulfillment of specific prophetic prediction in a way that foregrounds the political-historical fulfillment without adequately integrating the theological cause stated in verses 2–4. The text does not allow this separation. Nebuchadnezzar is named, but the LORD is the grammatical subject of the decisive verbs:</w:t>
      </w:r>
      <w:r>
        <w:t xml:space="preserve"> </w:t>
      </w:r>
      <w:r>
        <w:t xml:space="preserve">“the LORD sent”</w:t>
      </w:r>
      <w:r>
        <w:t xml:space="preserve"> </w:t>
      </w:r>
      <w:r>
        <w:t xml:space="preserve">(v. 2),</w:t>
      </w:r>
      <w:r>
        <w:t xml:space="preserve"> </w:t>
      </w:r>
      <w:r>
        <w:t xml:space="preserve">“the LORD commanded”</w:t>
      </w:r>
      <w:r>
        <w:t xml:space="preserve"> </w:t>
      </w:r>
      <w:r>
        <w:t xml:space="preserve">(v. 3),</w:t>
      </w:r>
      <w:r>
        <w:t xml:space="preserve"> </w:t>
      </w:r>
      <w:r>
        <w:t xml:space="preserve">“the LORD was not willing to forgive”</w:t>
      </w:r>
      <w:r>
        <w:t xml:space="preserve"> </w:t>
      </w:r>
      <w:r>
        <w:t xml:space="preserve">(v. 4). The dispensational tradition rightly notes the historical-prophetic fulfillment and the precision of the judgment; what must be added is that Nebuchadnezzar’s sovereignty is entirely derivative — he acts exactly where, when, and as far as God has determined. The Reformed reading affirms both the historical reality of Babylon’s power and the theological priority of God’s sovereign governance.</w:t>
      </w:r>
    </w:p>
    <w:p>
      <w:pPr>
        <w:pStyle w:val="BodyText"/>
      </w:pPr>
      <w:r>
        <w:rPr>
          <w:b/>
          <w:bCs/>
        </w:rPr>
        <w:t xml:space="preserve">No significant divergence exists</w:t>
      </w:r>
      <w:r>
        <w:t xml:space="preserve"> </w:t>
      </w:r>
      <w:r>
        <w:t xml:space="preserve">on the historicity of the events narrated, on the identity of the kings, or on the basic sequence of deportations. The principal hermeneutical fault line is between readings that treat the theological interpretation as imposed and those that treat it as intrinsic — and the text’s own grammar and structure settle the matter in favor of the latter.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28:36–37, 49–52</w:t>
      </w:r>
      <w:r>
        <w:t xml:space="preserve"> </w:t>
      </w:r>
      <w:r>
        <w:t xml:space="preserve">— Moses warned explicitly that covenant unfaithfulness would result in a foreign nation carrying Israel into exile; 2 Kings 24 is the precise fulfillment of what God said at Sinai, demonstrating that His covenant threats are as binding as His covenant promises.</w:t>
      </w:r>
    </w:p>
    <w:p>
      <w:pPr>
        <w:numPr>
          <w:ilvl w:val="0"/>
          <w:numId w:val="1001"/>
        </w:numPr>
      </w:pPr>
      <w:r>
        <w:rPr>
          <w:b/>
          <w:bCs/>
        </w:rPr>
        <w:t xml:space="preserve">2 Kings 21:10–15</w:t>
      </w:r>
      <w:r>
        <w:t xml:space="preserve"> </w:t>
      </w:r>
      <w:r>
        <w:t xml:space="preserve">— The LORD’s explicit word through the prophets against Manasseh:</w:t>
      </w:r>
      <w:r>
        <w:t xml:space="preserve"> </w:t>
      </w:r>
      <w:r>
        <w:t xml:space="preserve">“I will wipe Jerusalem as one wipes a dish, wiping it and turning it upside down.”</w:t>
      </w:r>
      <w:r>
        <w:t xml:space="preserve"> </w:t>
      </w:r>
      <w:r>
        <w:t xml:space="preserve">Chapter 24 shows that word being executed, clause by clause.</w:t>
      </w:r>
    </w:p>
    <w:p>
      <w:pPr>
        <w:numPr>
          <w:ilvl w:val="0"/>
          <w:numId w:val="1001"/>
        </w:numPr>
      </w:pPr>
      <w:r>
        <w:rPr>
          <w:b/>
          <w:bCs/>
        </w:rPr>
        <w:t xml:space="preserve">Jeremiah 25:1–11</w:t>
      </w:r>
      <w:r>
        <w:t xml:space="preserve"> </w:t>
      </w:r>
      <w:r>
        <w:t xml:space="preserve">— Jeremiah’s contemporaneous prophecy naming Babylon as God’s instrument and specifying seventy years of captivity; 2 Kings 24 is the opening chapter of that fulfillment, grounding the narrative in what God had already declared through His prophet.</w:t>
      </w:r>
    </w:p>
    <w:p>
      <w:pPr>
        <w:numPr>
          <w:ilvl w:val="0"/>
          <w:numId w:val="1001"/>
        </w:numPr>
      </w:pPr>
      <w:r>
        <w:rPr>
          <w:b/>
          <w:bCs/>
        </w:rPr>
        <w:t xml:space="preserve">Lamentations 1:1–5</w:t>
      </w:r>
      <w:r>
        <w:t xml:space="preserve"> </w:t>
      </w:r>
      <w:r>
        <w:t xml:space="preserve">— The emotional register of the exile’s devastation, providing the experiential counterpart to 2 Kings 24’s historical narration; together they demand both theological clarity and genuine grief about what covenant unfaithfulness destroys.</w:t>
      </w:r>
    </w:p>
    <w:p>
      <w:pPr>
        <w:numPr>
          <w:ilvl w:val="0"/>
          <w:numId w:val="1001"/>
        </w:numPr>
      </w:pPr>
      <w:r>
        <w:rPr>
          <w:b/>
          <w:bCs/>
        </w:rPr>
        <w:t xml:space="preserve">Romans 11:22</w:t>
      </w:r>
      <w:r>
        <w:t xml:space="preserve"> </w:t>
      </w:r>
      <w:r>
        <w:t xml:space="preserve">—</w:t>
      </w:r>
      <w:r>
        <w:t xml:space="preserve"> </w:t>
      </w:r>
      <w:r>
        <w:t xml:space="preserve">“Consider therefore the kindness and sternness of God”</w:t>
      </w:r>
      <w:r>
        <w:t xml:space="preserve"> </w:t>
      </w:r>
      <w:r>
        <w:t xml:space="preserve">— the exile narratives in Kings are the Old Testament’s most concentrated exhibition of divine sternness, and they are canonically indispensable for understanding that the God of grace is also the God of judgment, and that His severity, like His kindness, is entirely trustworthy.</w:t>
      </w:r>
    </w:p>
    <w:p>
      <w:r>
        <w:pict>
          <v:rect style="width:0;height:1.5pt" o:hralign="center" o:hrstd="t" o:hr="t"/>
        </w:pict>
      </w:r>
    </w:p>
    <w:p>
      <w:pPr>
        <w:pStyle w:val="FirstParagraph"/>
      </w:pPr>
      <w:r>
        <w:rPr>
          <w:b/>
          <w:bCs/>
        </w:rPr>
        <w:t xml:space="preserve">Aim:</w:t>
      </w:r>
      <w:r>
        <w:t xml:space="preserve"> </w:t>
      </w:r>
      <w:r>
        <w:t xml:space="preserve">To bring readers to a reckoning with the certainty of God’s word of judgment — to see that the same faithfulness that secures covenant promises also executes covenant warnings — and to provoke honest examination of what accumulated covenant compromise actually costs.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Jehoiakim becomes Nebuchadnezzar’s vassal for three years, then rebels</w:t>
            </w:r>
          </w:p>
        </w:tc>
        <w:tc>
          <w:tcPr/>
          <w:p>
            <w:pPr>
              <w:pStyle w:val="Compact"/>
            </w:pPr>
            <w:r>
              <w:t xml:space="preserve">Sets the political stage; Judah caught between Egypt and Babylon</w:t>
            </w:r>
          </w:p>
        </w:tc>
      </w:tr>
      <w:tr>
        <w:tc>
          <w:tcPr/>
          <w:p>
            <w:pPr>
              <w:pStyle w:val="Compact"/>
            </w:pPr>
            <w:r>
              <w:t xml:space="preserve">2</w:t>
            </w:r>
          </w:p>
        </w:tc>
        <w:tc>
          <w:tcPr/>
          <w:p>
            <w:pPr>
              <w:pStyle w:val="Compact"/>
            </w:pPr>
            <w:r>
              <w:t xml:space="preserve">The LORD sends Babylonian, Aramean, Moabite, and Ammonite raiders against Jehoiakim</w:t>
            </w:r>
          </w:p>
        </w:tc>
        <w:tc>
          <w:tcPr/>
          <w:p>
            <w:pPr>
              <w:pStyle w:val="Compact"/>
            </w:pPr>
            <w:r>
              <w:t xml:space="preserve">Explicit divine agency — God orchestrates the instrument of judgment</w:t>
            </w:r>
          </w:p>
        </w:tc>
      </w:tr>
      <w:tr>
        <w:tc>
          <w:tcPr/>
          <w:p>
            <w:pPr>
              <w:pStyle w:val="Compact"/>
            </w:pPr>
            <w:r>
              <w:t xml:space="preserve">3–4</w:t>
            </w:r>
          </w:p>
        </w:tc>
        <w:tc>
          <w:tcPr/>
          <w:p>
            <w:pPr>
              <w:pStyle w:val="Compact"/>
            </w:pPr>
            <w:r>
              <w:t xml:space="preserve">Theological explanation: this is the LORD’s judgment on Judah for Manasseh’s sins and innocent blood — the LORD was not willing to forgive</w:t>
            </w:r>
          </w:p>
        </w:tc>
        <w:tc>
          <w:tcPr/>
          <w:p>
            <w:pPr>
              <w:pStyle w:val="Compact"/>
            </w:pPr>
            <w:r>
              <w:t xml:space="preserve">The interpretive heart of the chapter; establishes the theological cause before the political outcome is fully narrated</w:t>
            </w:r>
          </w:p>
        </w:tc>
      </w:tr>
      <w:tr>
        <w:tc>
          <w:tcPr/>
          <w:p>
            <w:pPr>
              <w:pStyle w:val="Compact"/>
            </w:pPr>
            <w:r>
              <w:t xml:space="preserve">5–6</w:t>
            </w:r>
          </w:p>
        </w:tc>
        <w:tc>
          <w:tcPr/>
          <w:p>
            <w:pPr>
              <w:pStyle w:val="Compact"/>
            </w:pPr>
            <w:r>
              <w:t xml:space="preserve">Jehoiakim dies; Jehoiachin his son reigns</w:t>
            </w:r>
          </w:p>
        </w:tc>
        <w:tc>
          <w:tcPr/>
          <w:p>
            <w:pPr>
              <w:pStyle w:val="Compact"/>
            </w:pPr>
            <w:r>
              <w:t xml:space="preserve">Jehoiakim escapes the full siege but not the trajectory; generational continuity of judgment</w:t>
            </w:r>
          </w:p>
        </w:tc>
      </w:tr>
      <w:tr>
        <w:tc>
          <w:tcPr/>
          <w:p>
            <w:pPr>
              <w:pStyle w:val="Compact"/>
            </w:pPr>
            <w:r>
              <w:t xml:space="preserve">7</w:t>
            </w:r>
          </w:p>
        </w:tc>
        <w:tc>
          <w:tcPr/>
          <w:p>
            <w:pPr>
              <w:pStyle w:val="Compact"/>
            </w:pPr>
            <w:r>
              <w:t xml:space="preserve">Egypt retreats permanently within its own borders; Babylon controls the whole region</w:t>
            </w:r>
          </w:p>
        </w:tc>
        <w:tc>
          <w:tcPr/>
          <w:p>
            <w:pPr>
              <w:pStyle w:val="Compact"/>
            </w:pPr>
            <w:r>
              <w:t xml:space="preserve">The geopolitical shift is complete; no rescue is coming from Egypt</w:t>
            </w:r>
          </w:p>
        </w:tc>
      </w:tr>
      <w:tr>
        <w:tc>
          <w:tcPr/>
          <w:p>
            <w:pPr>
              <w:pStyle w:val="Compact"/>
            </w:pPr>
            <w:r>
              <w:t xml:space="preserve">8–9</w:t>
            </w:r>
          </w:p>
        </w:tc>
        <w:tc>
          <w:tcPr/>
          <w:p>
            <w:pPr>
              <w:pStyle w:val="Compact"/>
            </w:pPr>
            <w:r>
              <w:t xml:space="preserve">Jehoiachin reigns three months; does evil in the LORD’s sight</w:t>
            </w:r>
          </w:p>
        </w:tc>
        <w:tc>
          <w:tcPr/>
          <w:p>
            <w:pPr>
              <w:pStyle w:val="Compact"/>
            </w:pPr>
            <w:r>
              <w:t xml:space="preserve">Three months — a reign of no consequence; the pattern of evil continues without interruption</w:t>
            </w:r>
          </w:p>
        </w:tc>
      </w:tr>
      <w:tr>
        <w:tc>
          <w:tcPr/>
          <w:p>
            <w:pPr>
              <w:pStyle w:val="Compact"/>
            </w:pPr>
            <w:r>
              <w:t xml:space="preserve">10–11</w:t>
            </w:r>
          </w:p>
        </w:tc>
        <w:tc>
          <w:tcPr/>
          <w:p>
            <w:pPr>
              <w:pStyle w:val="Compact"/>
            </w:pPr>
            <w:r>
              <w:t xml:space="preserve">Nebuchadnezzar’s officers besiege Jerusalem; Nebuchadnezzar himself comes up</w:t>
            </w:r>
          </w:p>
        </w:tc>
        <w:tc>
          <w:tcPr/>
          <w:p>
            <w:pPr>
              <w:pStyle w:val="Compact"/>
            </w:pPr>
            <w:r>
              <w:t xml:space="preserve">The siege arrives; the historical agent arrives</w:t>
            </w:r>
          </w:p>
        </w:tc>
      </w:tr>
      <w:tr>
        <w:tc>
          <w:tcPr/>
          <w:p>
            <w:pPr>
              <w:pStyle w:val="Compact"/>
            </w:pPr>
            <w:r>
              <w:t xml:space="preserve">12</w:t>
            </w:r>
          </w:p>
        </w:tc>
        <w:tc>
          <w:tcPr/>
          <w:p>
            <w:pPr>
              <w:pStyle w:val="Compact"/>
            </w:pPr>
            <w:r>
              <w:t xml:space="preserve">Jehoiachin surrenders — king, mother, servants, officers, officials — and Nebuchadnezzar takes him</w:t>
            </w:r>
          </w:p>
        </w:tc>
        <w:tc>
          <w:tcPr/>
          <w:p>
            <w:pPr>
              <w:pStyle w:val="Compact"/>
            </w:pPr>
            <w:r>
              <w:t xml:space="preserve">Voluntary surrender; the king goes into captivity in the eighth year of Nebuchadnezzar’s reign</w:t>
            </w:r>
          </w:p>
        </w:tc>
      </w:tr>
      <w:tr>
        <w:tc>
          <w:tcPr/>
          <w:p>
            <w:pPr>
              <w:pStyle w:val="Compact"/>
            </w:pPr>
            <w:r>
              <w:t xml:space="preserve">13</w:t>
            </w:r>
          </w:p>
        </w:tc>
        <w:tc>
          <w:tcPr/>
          <w:p>
            <w:pPr>
              <w:pStyle w:val="Compact"/>
            </w:pPr>
            <w:r>
              <w:t xml:space="preserve">Nebuchadnezzar carries off all the treasures of the temple and royal palace; cuts apart the gold vessels Solomon made</w:t>
            </w:r>
          </w:p>
        </w:tc>
        <w:tc>
          <w:tcPr/>
          <w:p>
            <w:pPr>
              <w:pStyle w:val="Compact"/>
            </w:pPr>
            <w:r>
              <w:t xml:space="preserve">The despoiling of the temple — the symbolic center of covenant worship — is explicit</w:t>
            </w:r>
          </w:p>
        </w:tc>
      </w:tr>
      <w:tr>
        <w:tc>
          <w:tcPr/>
          <w:p>
            <w:pPr>
              <w:pStyle w:val="Compact"/>
            </w:pPr>
            <w:r>
              <w:t xml:space="preserve">14</w:t>
            </w:r>
          </w:p>
        </w:tc>
        <w:tc>
          <w:tcPr/>
          <w:p>
            <w:pPr>
              <w:pStyle w:val="Compact"/>
            </w:pPr>
            <w:r>
              <w:t xml:space="preserve">He carries into exile all Jerusalem: commanders, warriors, craftsmen, smiths — ten thousand exiles; only the poorest remain</w:t>
            </w:r>
          </w:p>
        </w:tc>
        <w:tc>
          <w:tcPr/>
          <w:p>
            <w:pPr>
              <w:pStyle w:val="Compact"/>
            </w:pPr>
            <w:r>
              <w:t xml:space="preserve">The elite, the skilled, the military, the leadership — Judah’s functional capacity — removed</w:t>
            </w:r>
          </w:p>
        </w:tc>
      </w:tr>
      <w:tr>
        <w:tc>
          <w:tcPr/>
          <w:p>
            <w:pPr>
              <w:pStyle w:val="Compact"/>
            </w:pPr>
            <w:r>
              <w:t xml:space="preserve">15–16</w:t>
            </w:r>
          </w:p>
        </w:tc>
        <w:tc>
          <w:tcPr/>
          <w:p>
            <w:pPr>
              <w:pStyle w:val="Compact"/>
            </w:pPr>
            <w:r>
              <w:t xml:space="preserve">Jehoiachin, his wives, mother, officials, mighty men, craftsmen, smiths — all taken to Babylon; seven thousand soldiers, one thousand craftsmen</w:t>
            </w:r>
          </w:p>
        </w:tc>
        <w:tc>
          <w:tcPr/>
          <w:p>
            <w:pPr>
              <w:pStyle w:val="Compact"/>
            </w:pPr>
            <w:r>
              <w:t xml:space="preserve">The systematic stripping is comprehensive; the military and productive class is gone</w:t>
            </w:r>
          </w:p>
        </w:tc>
      </w:tr>
      <w:tr>
        <w:tc>
          <w:tcPr/>
          <w:p>
            <w:pPr>
              <w:pStyle w:val="Compact"/>
            </w:pPr>
            <w:r>
              <w:t xml:space="preserve">17</w:t>
            </w:r>
          </w:p>
        </w:tc>
        <w:tc>
          <w:tcPr/>
          <w:p>
            <w:pPr>
              <w:pStyle w:val="Compact"/>
            </w:pPr>
            <w:r>
              <w:t xml:space="preserve">Nebuchadnezzar makes Mattaniah (Zedekiah) king and changes his name</w:t>
            </w:r>
          </w:p>
        </w:tc>
        <w:tc>
          <w:tcPr/>
          <w:p>
            <w:pPr>
              <w:pStyle w:val="Compact"/>
            </w:pPr>
            <w:r>
              <w:t xml:space="preserve">The renaming signals subordination; Zedekiah reigns at Babylon’s pleasure, not by covenant right</w:t>
            </w:r>
          </w:p>
        </w:tc>
      </w:tr>
      <w:tr>
        <w:tc>
          <w:tcPr/>
          <w:p>
            <w:pPr>
              <w:pStyle w:val="Compact"/>
            </w:pPr>
            <w:r>
              <w:t xml:space="preserve">18–19</w:t>
            </w:r>
          </w:p>
        </w:tc>
        <w:tc>
          <w:tcPr/>
          <w:p>
            <w:pPr>
              <w:pStyle w:val="Compact"/>
            </w:pPr>
            <w:r>
              <w:t xml:space="preserve">Zedekiah’s age, reign length, mother’s name; does evil in the LORD’s sight</w:t>
            </w:r>
          </w:p>
        </w:tc>
        <w:tc>
          <w:tcPr/>
          <w:p>
            <w:pPr>
              <w:pStyle w:val="Compact"/>
            </w:pPr>
            <w:r>
              <w:t xml:space="preserve">The formula of royal evaluation — unchanged; the new king continues the pattern</w:t>
            </w:r>
          </w:p>
        </w:tc>
      </w:tr>
      <w:tr>
        <w:tc>
          <w:tcPr/>
          <w:p>
            <w:pPr>
              <w:pStyle w:val="Compact"/>
            </w:pPr>
            <w:r>
              <w:t xml:space="preserve">20</w:t>
            </w:r>
          </w:p>
        </w:tc>
        <w:tc>
          <w:tcPr/>
          <w:p>
            <w:pPr>
              <w:pStyle w:val="Compact"/>
            </w:pPr>
            <w:r>
              <w:t xml:space="preserve">For through the anger of the LORD this happened to Jerusalem and Judah, until he cast them out from his presence</w:t>
            </w:r>
          </w:p>
        </w:tc>
        <w:tc>
          <w:tcPr/>
          <w:p>
            <w:pPr>
              <w:pStyle w:val="Compact"/>
            </w:pPr>
            <w:r>
              <w:t xml:space="preserve">Final theological summary: the LORD cast them out — the ultimate covenant consequence of His presence withdrawn</w:t>
            </w:r>
          </w:p>
        </w:tc>
      </w:tr>
      <w:tr>
        <w:tc>
          <w:tcPr/>
          <w:p>
            <w:pPr>
              <w:pStyle w:val="Compact"/>
            </w:pPr>
            <w:r>
              <w:t xml:space="preserve">20b</w:t>
            </w:r>
          </w:p>
        </w:tc>
        <w:tc>
          <w:tcPr/>
          <w:p>
            <w:pPr>
              <w:pStyle w:val="Compact"/>
            </w:pPr>
            <w:r>
              <w:t xml:space="preserve">Zedekiah rebels against the king of Babylon</w:t>
            </w:r>
          </w:p>
        </w:tc>
        <w:tc>
          <w:tcPr/>
          <w:p>
            <w:pPr>
              <w:pStyle w:val="Compact"/>
            </w:pPr>
            <w:r>
              <w:t xml:space="preserve">The chapter ends on a note of continued defiance — the next act of destruction is already in motion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Theological Frame: God’s Judgment Announced and Executed</w:t>
            </w:r>
          </w:p>
        </w:tc>
      </w:tr>
      <w:tr>
        <w:tc>
          <w:tcPr/>
          <w:p>
            <w:pPr>
              <w:pStyle w:val="Compact"/>
            </w:pPr>
            <w:r>
              <w:t xml:space="preserve">2</w:t>
            </w:r>
          </w:p>
        </w:tc>
        <w:tc>
          <w:tcPr/>
          <w:p>
            <w:pPr>
              <w:pStyle w:val="Compact"/>
            </w:pPr>
            <w:r>
              <w:t xml:space="preserve">5–9</w:t>
            </w:r>
          </w:p>
        </w:tc>
        <w:tc>
          <w:tcPr/>
          <w:p>
            <w:pPr>
              <w:pStyle w:val="Compact"/>
            </w:pPr>
            <w:r>
              <w:t xml:space="preserve">The Passing of Kings: Jehoiakim and Jehoiachin</w:t>
            </w:r>
          </w:p>
        </w:tc>
      </w:tr>
      <w:tr>
        <w:tc>
          <w:tcPr/>
          <w:p>
            <w:pPr>
              <w:pStyle w:val="Compact"/>
            </w:pPr>
            <w:r>
              <w:t xml:space="preserve">3</w:t>
            </w:r>
          </w:p>
        </w:tc>
        <w:tc>
          <w:tcPr/>
          <w:p>
            <w:pPr>
              <w:pStyle w:val="Compact"/>
            </w:pPr>
            <w:r>
              <w:t xml:space="preserve">10–16</w:t>
            </w:r>
          </w:p>
        </w:tc>
        <w:tc>
          <w:tcPr/>
          <w:p>
            <w:pPr>
              <w:pStyle w:val="Compact"/>
            </w:pPr>
            <w:r>
              <w:t xml:space="preserve">The Stripping of Jerusalem: Temple, Treasury, and People</w:t>
            </w:r>
          </w:p>
        </w:tc>
      </w:tr>
      <w:tr>
        <w:tc>
          <w:tcPr/>
          <w:p>
            <w:pPr>
              <w:pStyle w:val="Compact"/>
            </w:pPr>
            <w:r>
              <w:t xml:space="preserve">4</w:t>
            </w:r>
          </w:p>
        </w:tc>
        <w:tc>
          <w:tcPr/>
          <w:p>
            <w:pPr>
              <w:pStyle w:val="Compact"/>
            </w:pPr>
            <w:r>
              <w:t xml:space="preserve">17–20</w:t>
            </w:r>
          </w:p>
        </w:tc>
        <w:tc>
          <w:tcPr/>
          <w:p>
            <w:pPr>
              <w:pStyle w:val="Compact"/>
            </w:pPr>
            <w:r>
              <w:t xml:space="preserve">The Hollow Throne: Zedekiah Installed, Rebellion Resumed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delivers covenant-breaking Judah into Babylon’s hand — exactly as He promised.</w:t>
      </w:r>
    </w:p>
    <w:p>
      <w:pPr>
        <w:pStyle w:val="BodyText"/>
      </w:pPr>
      <w:r>
        <w:rPr>
          <w:b/>
          <w:bCs/>
        </w:rPr>
        <w:t xml:space="preserve">Primary Claim:</w:t>
      </w:r>
      <w:r>
        <w:t xml:space="preserve"> </w:t>
      </w:r>
      <w:r>
        <w:t xml:space="preserve">God is demonstrating through the fall of Jerusalem that His word of judgment is as certain as His word of promise — covenantal unfaithfulness does not defer its consequences indefinitely, and no political arrangement, no change of kings, and no military calculation can circumvent what God has already decreed. He is calling readers to take His covenant threats with the same seriousness with which they take His covenant promises.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full character of God, not just the comforting half of it.</w:t>
      </w:r>
      <w:r>
        <w:t xml:space="preserve"> </w:t>
      </w:r>
      <w:r>
        <w:rPr>
          <w:i/>
          <w:iCs/>
        </w:rPr>
        <w:t xml:space="preserve">(Mind/belief)</w:t>
      </w:r>
      <w:r>
        <w:t xml:space="preserve"> </w:t>
      </w:r>
      <w:r>
        <w:t xml:space="preserve">Most Christian readers are practiced at receiving God’s promises — they reach for Romans 8:28, Jeremiah 29:11, the Twenty-Third Psalm. Second Kings 24 demands that we hold the same hermeneutical weight on the other side of the ledger: the God who promises is the same God who judges, and His warnings are backed by the same faithfulness as His promises. If you believe God’s word of grace, you must equally believe His word of judgment. A Christianity that has domesticated God into a God of only comfort has not yet met the God of this chapter — and it is not equipped for reality.</w:t>
      </w:r>
    </w:p>
    <w:p>
      <w:pPr>
        <w:pStyle w:val="BodyText"/>
      </w:pPr>
      <w:r>
        <w:rPr>
          <w:b/>
          <w:bCs/>
        </w:rPr>
        <w:t xml:space="preserve">2. Take seriously what accumulated compromise is doing to you — now, before the account is called.</w:t>
      </w:r>
      <w:r>
        <w:t xml:space="preserve"> </w:t>
      </w:r>
      <w:r>
        <w:rPr>
          <w:i/>
          <w:iCs/>
        </w:rPr>
        <w:t xml:space="preserve">(Will/behavior)</w:t>
      </w:r>
      <w:r>
        <w:t xml:space="preserve"> </w:t>
      </w:r>
      <w:r>
        <w:t xml:space="preserve">Judah did not arrive at chapter 24 in a single step. Manasseh’s apostasy, the half-measures of subsequent kings, the slow drift away from covenant faithfulness — these accumulated over decades before the exile arrived. The pattern is not exotic. Where are you drifting in slow, incremental ways from the covenant commitments of your baptism and profession? What patterns of compromise have you normalized so gradually that they no longer register as compromise? The exile did not surprise God, but it may have surprised Judah. Don’t be surprised.</w:t>
      </w:r>
    </w:p>
    <w:p>
      <w:pPr>
        <w:pStyle w:val="BodyText"/>
      </w:pPr>
      <w:r>
        <w:rPr>
          <w:b/>
          <w:bCs/>
        </w:rPr>
        <w:t xml:space="preserve">3. Grieve what sin actually destroys — not abstractly, but concretely.</w:t>
      </w:r>
      <w:r>
        <w:t xml:space="preserve"> </w:t>
      </w:r>
      <w:r>
        <w:rPr>
          <w:i/>
          <w:iCs/>
        </w:rPr>
        <w:t xml:space="preserve">(Affections/worship)</w:t>
      </w:r>
      <w:r>
        <w:t xml:space="preserve"> </w:t>
      </w:r>
      <w:r>
        <w:t xml:space="preserve">The stripping of Jerusalem in verses 13–16 is not a statistic — it is a catastrophe. The temple treasury gutted. Ten thousand people deported. Families separated. Skills, leadership, culture, worship — hollowed out in a single military action. The text is asking you to feel what covenant unfaithfulness actually costs, not just to know it. Let the grief of this passage do its intended work. What has sin already cost you, your family, your community? The refusal to grieve these losses honestly is itself a form of unbelief — it treats the destruction as less real than it is.</w:t>
      </w:r>
    </w:p>
    <w:p>
      <w:pPr>
        <w:pStyle w:val="BodyText"/>
      </w:pPr>
      <w:r>
        <w:rPr>
          <w:b/>
          <w:bCs/>
        </w:rPr>
        <w:t xml:space="preserve">4. Read the events of your life and your world from above, not only from below.</w:t>
      </w:r>
      <w:r>
        <w:t xml:space="preserve"> </w:t>
      </w:r>
      <w:r>
        <w:rPr>
          <w:i/>
          <w:iCs/>
        </w:rPr>
        <w:t xml:space="preserve">(Mind/belief)</w:t>
      </w:r>
      <w:r>
        <w:t xml:space="preserve"> </w:t>
      </w:r>
      <w:r>
        <w:t xml:space="preserve">The narrator of 2 Kings 24 could have written a chapter about geopolitics — the rise of Babylon, the decline of Egypt, the vulnerability of small client states in a shifting power environment. All of that would have been accurate. Instead, the narrator writes a theological account: the LORD sent, the LORD commanded, the LORD was not willing to forgive, the LORD cast them out. The same events are in both accounts — but only one of them is true. Practice the discipline of reading your own life from above: not</w:t>
      </w:r>
      <w:r>
        <w:t xml:space="preserve"> </w:t>
      </w:r>
      <w:r>
        <w:t xml:space="preserve">“what are the economic forces at work here?”</w:t>
      </w:r>
      <w:r>
        <w:t xml:space="preserve"> </w:t>
      </w:r>
      <w:r>
        <w:t xml:space="preserve">or</w:t>
      </w:r>
      <w:r>
        <w:t xml:space="preserve"> </w:t>
      </w:r>
      <w:r>
        <w:t xml:space="preserve">“what are the relational dynamics at play?”</w:t>
      </w:r>
      <w:r>
        <w:t xml:space="preserve"> </w:t>
      </w:r>
      <w:r>
        <w:t xml:space="preserve">as the primary categories, but</w:t>
      </w:r>
      <w:r>
        <w:t xml:space="preserve"> </w:t>
      </w:r>
      <w:r>
        <w:t xml:space="preserve">“what is the LORD doing, and what does His word say about this situation?”</w:t>
      </w:r>
    </w:p>
    <w:p>
      <w:pPr>
        <w:pStyle w:val="BodyText"/>
      </w:pPr>
      <w:r>
        <w:rPr>
          <w:b/>
          <w:bCs/>
        </w:rPr>
        <w:t xml:space="preserve">5. Do not put your hope in a new king, a political solution, or a change in circumstances.</w:t>
      </w:r>
      <w:r>
        <w:t xml:space="preserve"> </w:t>
      </w:r>
      <w:r>
        <w:rPr>
          <w:i/>
          <w:iCs/>
        </w:rPr>
        <w:t xml:space="preserve">(Affections/worship)</w:t>
      </w:r>
      <w:r>
        <w:t xml:space="preserve"> </w:t>
      </w:r>
      <w:r>
        <w:t xml:space="preserve">The chapter cycles through three kings — Jehoiakim, Jehoiachin, Zedekiah — and each change of leadership changes nothing fundamental. The new king still does evil in the LORD’s sight. The siege still comes. The treasury is still stripped. The misplaced hope of each successive succession — perhaps this one will be different, perhaps this arrangement will hold — is exposed as empty. Where are you investing misplaced hope in a political solution, a new leader, a change in your circumstances, to accomplish what only God can accomplish and only repentance can address? The exile narrative refuses every savior except the one who is actually capable of saving.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24 is one of Scripture’s most concentrated demonstrations of the divine attribute of faithfulness applied to covenant judgment. God had warned, through Moses, through every prophet since Samuel, through the explicit oracle against Manasseh in 2 Kings 21 — and every word came to pass with precision. This passage teaches that God’s sovereignty is not merely a comforting doctrine about His governance over good things; it is an absolute governance over history, including the history of His own people’s failure. The passage also teaches the doctrine of divine patience and its limits: God delayed the exile through Josiah’s reform, but delay is not cancellation. The grammar of verses 2–4 is critical — the LORD sent, the LORD commanded, the LORD was not willing to forgive — establishing that Babylon is a secondary cause, an instrument, while God is the primary agent. History, in this text, is not the story of human power competing with other human power; it is the story of the covenant God executing His word on His timetable.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exegetically foundational for the Reformed doctrine of divine sovereignty in history — not as an abstract philosophical claim but as a concretely narrated reality. The same God who sovereignly preserves His covenant people (Psalm 46, Isaiah 40) sovereignly disciplines and judges them when they break covenant. The passage also provides essential context for understanding the gospel: the exile is the Old Testament’s most vivid enactment of what covenant curse looks like, and its resolution in return from exile (Ezra, Nehemiah, the prophecies of Isaiah 40–55) becomes the primary typological backdrop for understanding what Christ does as the one who bears covenant curse for His people in their place. The New Covenant’s</w:t>
      </w:r>
      <w:r>
        <w:t xml:space="preserve"> </w:t>
      </w:r>
      <w:r>
        <w:t xml:space="preserve">“no condemnation”</w:t>
      </w:r>
      <w:r>
        <w:t xml:space="preserve"> </w:t>
      </w:r>
      <w:r>
        <w:t xml:space="preserve">(Romans 8:1) is only fully intelligible against the backdrop of what condemnation actually looks like — and 2 Kings 24 provides that backdrop in narrative form. Furthermore, the passage’s insistence that Israel’s national collapse was not a political accident but a covenantal consequence reinforces the Reformed conviction that grace does not override holiness — that the God who saves is the same God who demands, and that the demand is not canceled by grace but fulfilled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word does not have an expiration date — not His word of promise, and not His word of judgment. What He said through Moses in Deuteronomy, He did in 2 Kings 24, clause by clause. Babylon did not take Jerusalem — the LORD gave it. This is not a chapter about the fragility of small nations in a changing geopolitical order; it is a chapter about a God who means what He says. Take His warnings as seriously as you take His promises. The same faithfulness that secures your salvation also holds you accountable to your covenant commitments — and it cannot be managed, delayed indefinitely, or circumvented by any human arrangement.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primarily political history with theological decoration.</w:t>
      </w:r>
      <w:r>
        <w:t xml:space="preserve"> </w:t>
      </w:r>
      <w:r>
        <w:t xml:space="preserve">The most common mishandling of this passage is to spend the bulk of exposition on the historical background — the rise of Babylon, the geopolitical shifts, Nebuchadnezzar’s campaigns — and treat the theological summary in verses 3–4 as a brief spiritual aside. The text inverts this priority entirely. The political history is the vehicle; the theological claim is the message. Spend proportionate time establishing that</w:t>
      </w:r>
      <w:r>
        <w:t xml:space="preserve"> </w:t>
      </w:r>
      <w:r>
        <w:t xml:space="preserve">“the LORD sent,”</w:t>
      </w:r>
      <w:r>
        <w:t xml:space="preserve"> </w:t>
      </w:r>
      <w:r>
        <w:t xml:space="preserve">“the LORD commanded,”</w:t>
      </w:r>
      <w:r>
        <w:t xml:space="preserve"> </w:t>
      </w:r>
      <w:r>
        <w:t xml:space="preserve">and</w:t>
      </w:r>
      <w:r>
        <w:t xml:space="preserve"> </w:t>
      </w:r>
      <w:r>
        <w:t xml:space="preserve">“the LORD was not willing to forgive”</w:t>
      </w:r>
      <w:r>
        <w:t xml:space="preserve"> </w:t>
      </w:r>
      <w:r>
        <w:t xml:space="preserve">are the interpretive key to everything that follows.</w:t>
      </w:r>
    </w:p>
    <w:p>
      <w:pPr>
        <w:numPr>
          <w:ilvl w:val="0"/>
          <w:numId w:val="1002"/>
        </w:numPr>
      </w:pPr>
      <w:r>
        <w:rPr>
          <w:b/>
          <w:bCs/>
        </w:rPr>
        <w:t xml:space="preserve">Softening God’s judgment into mere discipline.</w:t>
      </w:r>
      <w:r>
        <w:t xml:space="preserve"> </w:t>
      </w:r>
      <w:r>
        <w:t xml:space="preserve">There is a homiletical instinct to quickly reframe the exile as God’s painful-but-ultimately-redemptive discipline —</w:t>
      </w:r>
      <w:r>
        <w:t xml:space="preserve"> </w:t>
      </w:r>
      <w:r>
        <w:t xml:space="preserve">“He’s not punishing, He’s training.”</w:t>
      </w:r>
      <w:r>
        <w:t xml:space="preserve"> </w:t>
      </w:r>
      <w:r>
        <w:t xml:space="preserve">While there is a redemptive thread in the broader exile narrative, 2 Kings 24 itself does not provide it. The text says the LORD was not willing to forgive (v. 4) and that He cast them out of His presence (v. 20). Pastors must resist the urge to import the comfort of Isaiah 40 into a passage that has not yet arrived there. Let the weight of the judgment land before the comfort is offered.</w:t>
      </w:r>
    </w:p>
    <w:p>
      <w:pPr>
        <w:numPr>
          <w:ilvl w:val="0"/>
          <w:numId w:val="1002"/>
        </w:numPr>
      </w:pPr>
      <w:r>
        <w:rPr>
          <w:b/>
          <w:bCs/>
        </w:rPr>
        <w:t xml:space="preserve">Moralizing the kings without diagnosing the root.</w:t>
      </w:r>
      <w:r>
        <w:t xml:space="preserve"> </w:t>
      </w:r>
      <w:r>
        <w:t xml:space="preserve">The recurring formula</w:t>
      </w:r>
      <w:r>
        <w:t xml:space="preserve"> </w:t>
      </w:r>
      <w:r>
        <w:t xml:space="preserve">“he did evil in the LORD’s sight”</w:t>
      </w:r>
      <w:r>
        <w:t xml:space="preserve"> </w:t>
      </w:r>
      <w:r>
        <w:t xml:space="preserve">invites a sermon on moral leadership, the importance of godly kings, and the dangers of bad examples. This is moralism — and it misses the text’s point entirely. The text is not primarily about what kind of kings Judah had; it is about what covenant unfaithfulness costs, measured against God’s unalterable word. The kings are illustrations of a pattern, not the subject of the lesson.</w:t>
      </w:r>
    </w:p>
    <w:p>
      <w:pPr>
        <w:numPr>
          <w:ilvl w:val="0"/>
          <w:numId w:val="1002"/>
        </w:numPr>
      </w:pPr>
      <w:r>
        <w:rPr>
          <w:b/>
          <w:bCs/>
        </w:rPr>
        <w:t xml:space="preserve">Disconnecting Manasseh’s sin from its consequences in a way that denies covenantal solidarity.</w:t>
      </w:r>
      <w:r>
        <w:t xml:space="preserve"> </w:t>
      </w:r>
      <w:r>
        <w:t xml:space="preserve">Some expositors are uncomfortable with the idea that a later generation bears consequences for an earlier king’s sin, and they minimize or explain away verses 3–4. This is an error. The text is making a specific theological claim about covenantal solidarity and accumulated sin. The discomfort should be engaged honestly, not avoided — and it should be resolved through the gospel, not through denying the text’s claim.</w:t>
      </w:r>
    </w:p>
    <w:p>
      <w:pPr>
        <w:numPr>
          <w:ilvl w:val="0"/>
          <w:numId w:val="1002"/>
        </w:numPr>
      </w:pPr>
      <w:r>
        <w:rPr>
          <w:b/>
          <w:bCs/>
        </w:rPr>
        <w:t xml:space="preserve">Failing to connect the exile to Christ.</w:t>
      </w:r>
      <w:r>
        <w:t xml:space="preserve"> </w:t>
      </w:r>
      <w:r>
        <w:t xml:space="preserve">The exile is not merely an Old Testament tragedy; it is the theological and typological backdrop for the New Testament’s account of redemption. Christ takes the full weight of covenant curse — what Jerusalem suffered under Nebuchadnezzar is a pale typological shadow of what the Son of God bore on the cross. An exposition of 2 Kings 24 that does not eventually ask</w:t>
      </w:r>
      <w:r>
        <w:t xml:space="preserve"> </w:t>
      </w:r>
      <w:r>
        <w:t xml:space="preserve">“where is the one who can bear this judgment so that His people need not?”</w:t>
      </w:r>
      <w:r>
        <w:t xml:space="preserve"> </w:t>
      </w:r>
      <w:r>
        <w:t xml:space="preserve">has stopped short of the canon’s own answer to the question the chapter raises.</w:t>
      </w:r>
    </w:p>
    <w:p>
      <w:pPr>
        <w:numPr>
          <w:ilvl w:val="0"/>
          <w:numId w:val="1002"/>
        </w:numPr>
      </w:pPr>
      <w:r>
        <w:rPr>
          <w:b/>
          <w:bCs/>
        </w:rPr>
        <w:t xml:space="preserve">Using the passage to preach contemporary political application prematurely.</w:t>
      </w:r>
      <w:r>
        <w:t xml:space="preserve"> </w:t>
      </w:r>
      <w:r>
        <w:t xml:space="preserve">This passage is frequently weaponized in culture-war preaching —</w:t>
      </w:r>
      <w:r>
        <w:t xml:space="preserve"> </w:t>
      </w:r>
      <w:r>
        <w:t xml:space="preserve">“if our nation doesn’t repent, God will judge us like He judged Judah.”</w:t>
      </w:r>
      <w:r>
        <w:t xml:space="preserve"> </w:t>
      </w:r>
      <w:r>
        <w:t xml:space="preserve">There may be legitimate analogical application here, but it must be argued carefully, not assumed. The theocratic covenant with national Israel is not directly transferable to modern nation-states. The application of divine judgment to nations must account for the different covenantal structure of the New Covenant era. Preach the primary application — God’s people, covenant faithfulness, the certainty of His word — before reaching for the secondary analogy.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2026-07-14T21:03:11Z</dcterms:created>
  <dcterms:modified xsi:type="dcterms:W3CDTF">2026-07-14T21:03:11Z</dcterms:modified>
</cp:coreProperties>
</file>

<file path=docProps/custom.xml><?xml version="1.0" encoding="utf-8"?>
<Properties xmlns="http://schemas.openxmlformats.org/officeDocument/2006/custom-properties" xmlns:vt="http://schemas.openxmlformats.org/officeDocument/2006/docPropsVTypes"/>
</file>